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D4F1" w14:textId="5512ACEB" w:rsidR="001328D5" w:rsidRPr="001328D5" w:rsidRDefault="001328D5" w:rsidP="001328D5">
      <w:pPr>
        <w:pStyle w:val="a9"/>
        <w:tabs>
          <w:tab w:val="left" w:pos="567"/>
        </w:tabs>
        <w:ind w:left="0"/>
        <w:jc w:val="both"/>
        <w:rPr>
          <w:rFonts w:ascii="Times New Roman" w:hAnsi="Times New Roman" w:cs="Times New Roman"/>
          <w:b/>
          <w:bCs/>
          <w:sz w:val="26"/>
          <w:szCs w:val="26"/>
        </w:rPr>
      </w:pPr>
      <w:r w:rsidRPr="001328D5">
        <w:rPr>
          <w:rFonts w:ascii="Times New Roman" w:hAnsi="Times New Roman" w:cs="Times New Roman"/>
          <w:b/>
          <w:bCs/>
          <w:sz w:val="26"/>
          <w:szCs w:val="26"/>
        </w:rPr>
        <w:t>Sample Tutorial Questions and Answers for Commercial Law</w:t>
      </w:r>
    </w:p>
    <w:p w14:paraId="083A30D5" w14:textId="6DC21E2F" w:rsidR="001328D5" w:rsidRPr="001328D5" w:rsidRDefault="001328D5" w:rsidP="001328D5">
      <w:pPr>
        <w:pStyle w:val="a9"/>
        <w:tabs>
          <w:tab w:val="left" w:pos="567"/>
        </w:tabs>
        <w:ind w:left="0"/>
        <w:jc w:val="both"/>
        <w:rPr>
          <w:rFonts w:ascii="Times New Roman" w:hAnsi="Times New Roman" w:cs="Times New Roman"/>
          <w:b/>
          <w:bCs/>
          <w:sz w:val="26"/>
          <w:szCs w:val="26"/>
        </w:rPr>
      </w:pPr>
      <w:r w:rsidRPr="001328D5">
        <w:rPr>
          <w:rFonts w:ascii="Times New Roman" w:hAnsi="Times New Roman" w:cs="Times New Roman"/>
          <w:b/>
          <w:bCs/>
          <w:sz w:val="26"/>
          <w:szCs w:val="26"/>
        </w:rPr>
        <w:t>Secured Financing</w:t>
      </w:r>
    </w:p>
    <w:p w14:paraId="4933C1F8" w14:textId="77777777" w:rsidR="001328D5" w:rsidRDefault="001328D5" w:rsidP="001328D5">
      <w:pPr>
        <w:pStyle w:val="a9"/>
        <w:tabs>
          <w:tab w:val="left" w:pos="567"/>
        </w:tabs>
        <w:ind w:left="0"/>
        <w:jc w:val="both"/>
        <w:rPr>
          <w:rFonts w:ascii="Times New Roman" w:hAnsi="Times New Roman" w:cs="Times New Roman"/>
          <w:sz w:val="26"/>
          <w:szCs w:val="26"/>
        </w:rPr>
      </w:pPr>
    </w:p>
    <w:p w14:paraId="62879E62" w14:textId="388B0B0D" w:rsidR="001328D5" w:rsidRPr="00290EC7" w:rsidRDefault="001328D5" w:rsidP="001328D5">
      <w:pPr>
        <w:pStyle w:val="a9"/>
        <w:tabs>
          <w:tab w:val="left" w:pos="567"/>
        </w:tabs>
        <w:ind w:left="0"/>
        <w:jc w:val="both"/>
        <w:rPr>
          <w:rFonts w:ascii="Times New Roman" w:hAnsi="Times New Roman" w:cs="Times New Roman"/>
          <w:sz w:val="26"/>
          <w:szCs w:val="26"/>
        </w:rPr>
      </w:pPr>
      <w:r w:rsidRPr="00481EB9">
        <w:rPr>
          <w:rFonts w:ascii="Times New Roman" w:hAnsi="Times New Roman" w:cs="Times New Roman"/>
          <w:sz w:val="26"/>
          <w:szCs w:val="26"/>
        </w:rPr>
        <w:t xml:space="preserve">A </w:t>
      </w:r>
      <w:r w:rsidRPr="00290EC7">
        <w:rPr>
          <w:rFonts w:ascii="Times New Roman" w:hAnsi="Times New Roman" w:cs="Times New Roman"/>
          <w:sz w:val="26"/>
          <w:szCs w:val="26"/>
        </w:rPr>
        <w:t xml:space="preserve">Ltd borrowed $1,000,000 from B Bank. The charging clause in the debenture </w:t>
      </w:r>
      <w:r w:rsidRPr="00290EC7">
        <w:rPr>
          <w:rFonts w:ascii="Times New Roman" w:hAnsi="Times New Roman" w:cs="Times New Roman"/>
          <w:sz w:val="26"/>
          <w:szCs w:val="26"/>
          <w:highlight w:val="yellow"/>
        </w:rPr>
        <w:t>stated</w:t>
      </w:r>
      <w:r w:rsidRPr="00290EC7">
        <w:rPr>
          <w:rFonts w:ascii="Times New Roman" w:hAnsi="Times New Roman" w:cs="Times New Roman"/>
          <w:sz w:val="26"/>
          <w:szCs w:val="26"/>
        </w:rPr>
        <w:t xml:space="preserve"> that a “first specific (fixed) charge” was created over A </w:t>
      </w:r>
      <w:proofErr w:type="spellStart"/>
      <w:r w:rsidRPr="00290EC7">
        <w:rPr>
          <w:rFonts w:ascii="Times New Roman" w:hAnsi="Times New Roman" w:cs="Times New Roman"/>
          <w:sz w:val="26"/>
          <w:szCs w:val="26"/>
        </w:rPr>
        <w:t>Ltd’s</w:t>
      </w:r>
      <w:proofErr w:type="spellEnd"/>
      <w:r w:rsidRPr="00290EC7">
        <w:rPr>
          <w:rFonts w:ascii="Times New Roman" w:hAnsi="Times New Roman" w:cs="Times New Roman"/>
          <w:sz w:val="26"/>
          <w:szCs w:val="26"/>
        </w:rPr>
        <w:t xml:space="preserve"> machinery, and its present and future book debts. The charging clause also created</w:t>
      </w:r>
      <w:r>
        <w:rPr>
          <w:rFonts w:ascii="Times New Roman" w:hAnsi="Times New Roman" w:cs="Times New Roman"/>
          <w:sz w:val="26"/>
          <w:szCs w:val="26"/>
        </w:rPr>
        <w:t xml:space="preserve"> a </w:t>
      </w:r>
      <w:r w:rsidRPr="00290EC7">
        <w:rPr>
          <w:rFonts w:ascii="Times New Roman" w:hAnsi="Times New Roman" w:cs="Times New Roman"/>
          <w:sz w:val="26"/>
          <w:szCs w:val="26"/>
        </w:rPr>
        <w:t xml:space="preserve">floating charge over the other assets of the company not covered by the fixed charge. </w:t>
      </w:r>
    </w:p>
    <w:p w14:paraId="07D40A45" w14:textId="77777777" w:rsidR="001328D5" w:rsidRPr="00290EC7" w:rsidRDefault="001328D5" w:rsidP="001328D5">
      <w:pPr>
        <w:jc w:val="both"/>
        <w:rPr>
          <w:rFonts w:ascii="Times New Roman" w:hAnsi="Times New Roman" w:cs="Times New Roman"/>
          <w:sz w:val="26"/>
          <w:szCs w:val="26"/>
        </w:rPr>
      </w:pPr>
      <w:r w:rsidRPr="00290EC7">
        <w:rPr>
          <w:rFonts w:ascii="Times New Roman" w:hAnsi="Times New Roman" w:cs="Times New Roman"/>
          <w:sz w:val="26"/>
          <w:szCs w:val="26"/>
        </w:rPr>
        <w:t xml:space="preserve">In addition, the debenture contained the following clause: “With reference to the book debts hereby specifically charged, A Ltd shall pay into A </w:t>
      </w:r>
      <w:proofErr w:type="spellStart"/>
      <w:r w:rsidRPr="00290EC7">
        <w:rPr>
          <w:rFonts w:ascii="Times New Roman" w:hAnsi="Times New Roman" w:cs="Times New Roman"/>
          <w:sz w:val="26"/>
          <w:szCs w:val="26"/>
        </w:rPr>
        <w:t>Ltd’s</w:t>
      </w:r>
      <w:proofErr w:type="spellEnd"/>
      <w:r w:rsidRPr="00290EC7">
        <w:rPr>
          <w:rFonts w:ascii="Times New Roman" w:hAnsi="Times New Roman" w:cs="Times New Roman"/>
          <w:sz w:val="26"/>
          <w:szCs w:val="26"/>
        </w:rPr>
        <w:t xml:space="preserve"> bank account with B Bank all moneys which it may receive in respect of such debts and shall not without the prior consent in writing of B Bank sell factor discount or otherwise charge or assign these book debts in </w:t>
      </w:r>
      <w:proofErr w:type="spellStart"/>
      <w:r w:rsidRPr="00290EC7">
        <w:rPr>
          <w:rFonts w:ascii="Times New Roman" w:hAnsi="Times New Roman" w:cs="Times New Roman"/>
          <w:sz w:val="26"/>
          <w:szCs w:val="26"/>
        </w:rPr>
        <w:t>favour</w:t>
      </w:r>
      <w:proofErr w:type="spellEnd"/>
      <w:r w:rsidRPr="00290EC7">
        <w:rPr>
          <w:rFonts w:ascii="Times New Roman" w:hAnsi="Times New Roman" w:cs="Times New Roman"/>
          <w:sz w:val="26"/>
          <w:szCs w:val="26"/>
        </w:rPr>
        <w:t xml:space="preserve"> of any other person or purport to do so.”</w:t>
      </w:r>
    </w:p>
    <w:p w14:paraId="6C9AA56C" w14:textId="77777777" w:rsidR="001328D5" w:rsidRDefault="001328D5" w:rsidP="001328D5">
      <w:pPr>
        <w:jc w:val="both"/>
        <w:rPr>
          <w:rFonts w:ascii="Times New Roman" w:hAnsi="Times New Roman" w:cs="Times New Roman"/>
          <w:sz w:val="26"/>
          <w:szCs w:val="26"/>
        </w:rPr>
      </w:pPr>
      <w:r w:rsidRPr="00481EB9">
        <w:rPr>
          <w:rFonts w:ascii="Times New Roman" w:hAnsi="Times New Roman" w:cs="Times New Roman"/>
          <w:sz w:val="26"/>
          <w:szCs w:val="26"/>
        </w:rPr>
        <w:t>What type of charge does B Bank have over the assets of A Ltd covered by the debenture?</w:t>
      </w:r>
    </w:p>
    <w:p w14:paraId="03C90E75" w14:textId="77777777" w:rsidR="001328D5" w:rsidRDefault="001328D5" w:rsidP="001328D5">
      <w:pPr>
        <w:jc w:val="both"/>
        <w:rPr>
          <w:rFonts w:ascii="Times New Roman" w:hAnsi="Times New Roman" w:cs="Times New Roman"/>
          <w:sz w:val="26"/>
          <w:szCs w:val="26"/>
        </w:rPr>
      </w:pPr>
    </w:p>
    <w:p w14:paraId="533C5979" w14:textId="77777777" w:rsidR="001328D5" w:rsidRDefault="001328D5" w:rsidP="001328D5">
      <w:pPr>
        <w:jc w:val="both"/>
        <w:rPr>
          <w:rFonts w:ascii="Times New Roman" w:hAnsi="Times New Roman" w:cs="Times New Roman"/>
          <w:color w:val="FF6600"/>
          <w:sz w:val="26"/>
          <w:szCs w:val="26"/>
        </w:rPr>
      </w:pPr>
      <w:r>
        <w:rPr>
          <w:rFonts w:ascii="Times New Roman" w:hAnsi="Times New Roman" w:cs="Times New Roman"/>
          <w:color w:val="FF6600"/>
          <w:sz w:val="26"/>
          <w:szCs w:val="26"/>
        </w:rPr>
        <w:t>The parties tried to label these security assets</w:t>
      </w:r>
    </w:p>
    <w:p w14:paraId="4D414EEC" w14:textId="77777777" w:rsidR="001328D5" w:rsidRDefault="001328D5" w:rsidP="001328D5">
      <w:pPr>
        <w:jc w:val="both"/>
        <w:rPr>
          <w:rFonts w:ascii="Times New Roman" w:hAnsi="Times New Roman" w:cs="Times New Roman"/>
          <w:color w:val="FF6600"/>
          <w:sz w:val="26"/>
          <w:szCs w:val="26"/>
        </w:rPr>
      </w:pPr>
      <w:r>
        <w:rPr>
          <w:rFonts w:ascii="Times New Roman" w:hAnsi="Times New Roman" w:cs="Times New Roman"/>
          <w:color w:val="FF6600"/>
          <w:sz w:val="26"/>
          <w:szCs w:val="26"/>
        </w:rPr>
        <w:t>Floating charge?</w:t>
      </w:r>
    </w:p>
    <w:p w14:paraId="5D7D9703" w14:textId="77777777" w:rsidR="001328D5" w:rsidRPr="001328D5" w:rsidRDefault="001328D5" w:rsidP="001328D5">
      <w:pPr>
        <w:jc w:val="both"/>
        <w:rPr>
          <w:rFonts w:ascii="Times New Roman" w:hAnsi="Times New Roman" w:cs="Times New Roman"/>
          <w:color w:val="FF6600"/>
          <w:sz w:val="26"/>
          <w:szCs w:val="26"/>
        </w:rPr>
      </w:pPr>
      <w:r>
        <w:rPr>
          <w:rFonts w:ascii="Times New Roman" w:hAnsi="Times New Roman" w:cs="Times New Roman"/>
          <w:color w:val="FF6600"/>
          <w:sz w:val="26"/>
          <w:szCs w:val="26"/>
        </w:rPr>
        <w:tab/>
        <w:t xml:space="preserve">The designation provided by the parties is not conclusive. The court would look at the substance of the security, particularly the degree of control the lender has over the </w:t>
      </w:r>
      <w:proofErr w:type="gramStart"/>
      <w:r>
        <w:rPr>
          <w:rFonts w:ascii="Times New Roman" w:hAnsi="Times New Roman" w:cs="Times New Roman"/>
          <w:color w:val="FF6600"/>
          <w:sz w:val="26"/>
          <w:szCs w:val="26"/>
        </w:rPr>
        <w:t xml:space="preserve">charged </w:t>
      </w:r>
      <w:r w:rsidRPr="001328D5">
        <w:rPr>
          <w:rFonts w:ascii="Times New Roman" w:hAnsi="Times New Roman" w:cs="Times New Roman"/>
          <w:color w:val="FF6600"/>
          <w:sz w:val="26"/>
          <w:szCs w:val="26"/>
        </w:rPr>
        <w:t>assets</w:t>
      </w:r>
      <w:proofErr w:type="gramEnd"/>
      <w:r w:rsidRPr="001328D5">
        <w:rPr>
          <w:rFonts w:ascii="Times New Roman" w:hAnsi="Times New Roman" w:cs="Times New Roman"/>
          <w:color w:val="FF6600"/>
          <w:sz w:val="26"/>
          <w:szCs w:val="26"/>
        </w:rPr>
        <w:t>.</w:t>
      </w:r>
    </w:p>
    <w:p w14:paraId="361741C8" w14:textId="77777777" w:rsidR="001328D5" w:rsidRPr="001328D5" w:rsidRDefault="001328D5" w:rsidP="001328D5">
      <w:pPr>
        <w:pStyle w:val="a9"/>
        <w:numPr>
          <w:ilvl w:val="0"/>
          <w:numId w:val="5"/>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rPr>
        <w:t>Machinery:</w:t>
      </w:r>
    </w:p>
    <w:p w14:paraId="35435A84" w14:textId="77777777" w:rsidR="001328D5" w:rsidRPr="001328D5" w:rsidRDefault="001328D5" w:rsidP="001328D5">
      <w:pPr>
        <w:pStyle w:val="a9"/>
        <w:numPr>
          <w:ilvl w:val="0"/>
          <w:numId w:val="2"/>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rPr>
        <w:t>Label in the debenture:</w:t>
      </w:r>
    </w:p>
    <w:p w14:paraId="73F45104" w14:textId="77777777" w:rsidR="001328D5" w:rsidRPr="001328D5" w:rsidRDefault="001328D5" w:rsidP="001328D5">
      <w:pPr>
        <w:pStyle w:val="a9"/>
        <w:numPr>
          <w:ilvl w:val="1"/>
          <w:numId w:val="2"/>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rPr>
        <w:t xml:space="preserve">The debenture </w:t>
      </w:r>
      <w:r w:rsidRPr="001328D5">
        <w:rPr>
          <w:rFonts w:ascii="Times New Roman" w:hAnsi="Times New Roman" w:cs="Times New Roman"/>
          <w:color w:val="FF6600"/>
          <w:sz w:val="26"/>
          <w:szCs w:val="26"/>
          <w:highlight w:val="yellow"/>
        </w:rPr>
        <w:t>explicitly states</w:t>
      </w:r>
      <w:r w:rsidRPr="001328D5">
        <w:rPr>
          <w:rFonts w:ascii="Times New Roman" w:hAnsi="Times New Roman" w:cs="Times New Roman"/>
          <w:color w:val="FF6600"/>
          <w:sz w:val="26"/>
          <w:szCs w:val="26"/>
        </w:rPr>
        <w:t xml:space="preserve"> ‘a first specific charge’ is created over A </w:t>
      </w:r>
      <w:proofErr w:type="spellStart"/>
      <w:r w:rsidRPr="001328D5">
        <w:rPr>
          <w:rFonts w:ascii="Times New Roman" w:hAnsi="Times New Roman" w:cs="Times New Roman"/>
          <w:color w:val="FF6600"/>
          <w:sz w:val="26"/>
          <w:szCs w:val="26"/>
        </w:rPr>
        <w:t>Ltd’s</w:t>
      </w:r>
      <w:proofErr w:type="spellEnd"/>
      <w:r w:rsidRPr="001328D5">
        <w:rPr>
          <w:rFonts w:ascii="Times New Roman" w:hAnsi="Times New Roman" w:cs="Times New Roman"/>
          <w:color w:val="FF6600"/>
          <w:sz w:val="26"/>
          <w:szCs w:val="26"/>
        </w:rPr>
        <w:t xml:space="preserve"> machinery.</w:t>
      </w:r>
    </w:p>
    <w:p w14:paraId="7ED50933" w14:textId="77777777" w:rsidR="001328D5" w:rsidRPr="001328D5" w:rsidRDefault="001328D5" w:rsidP="001328D5">
      <w:pPr>
        <w:pStyle w:val="a9"/>
        <w:numPr>
          <w:ilvl w:val="1"/>
          <w:numId w:val="2"/>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rPr>
        <w:t>Fixed charge: A fixed charge typically attaches to specific, identifiable assets and restricts the company’s ability to deal with those assets without the lender’s consent.</w:t>
      </w:r>
    </w:p>
    <w:p w14:paraId="4DCEE861" w14:textId="77777777" w:rsidR="001328D5" w:rsidRPr="001328D5" w:rsidRDefault="001328D5" w:rsidP="001328D5">
      <w:pPr>
        <w:pStyle w:val="a9"/>
        <w:numPr>
          <w:ilvl w:val="2"/>
          <w:numId w:val="2"/>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lang w:val="en-HK"/>
        </w:rPr>
        <w:t>Machinery is a tangible, identifiable asset, commonly subject to a fixed charge because it’s not naturally circulating in the ordinary course of business.</w:t>
      </w:r>
    </w:p>
    <w:p w14:paraId="15B5BF03" w14:textId="77777777" w:rsidR="001328D5" w:rsidRPr="001328D5" w:rsidRDefault="001328D5" w:rsidP="001328D5">
      <w:pPr>
        <w:pStyle w:val="a9"/>
        <w:numPr>
          <w:ilvl w:val="0"/>
          <w:numId w:val="2"/>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rPr>
        <w:t>Floating charge doesn’t depend on the nature of the machines.</w:t>
      </w:r>
    </w:p>
    <w:p w14:paraId="786D8D89" w14:textId="77777777" w:rsidR="001328D5" w:rsidRPr="001328D5" w:rsidRDefault="001328D5" w:rsidP="001328D5">
      <w:pPr>
        <w:pStyle w:val="a9"/>
        <w:numPr>
          <w:ilvl w:val="1"/>
          <w:numId w:val="2"/>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lang w:val="en-HK"/>
        </w:rPr>
        <w:t xml:space="preserve">Can a floating charge be created over machinery? </w:t>
      </w:r>
    </w:p>
    <w:p w14:paraId="1DDBAA7F" w14:textId="77777777" w:rsidR="001328D5" w:rsidRPr="001328D5" w:rsidRDefault="001328D5" w:rsidP="001328D5">
      <w:pPr>
        <w:pStyle w:val="a9"/>
        <w:numPr>
          <w:ilvl w:val="2"/>
          <w:numId w:val="2"/>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lang w:val="en-HK"/>
        </w:rPr>
        <w:t xml:space="preserve">Yes, it is possible to create a floating charge over machinery, as a floating charge is defined by the company’s ability to deal with the assets in the ordinary course of business without the lender’s consent, not by the nature of the asset itself </w:t>
      </w:r>
      <w:proofErr w:type="gramStart"/>
      <w:r w:rsidRPr="001328D5">
        <w:rPr>
          <w:rFonts w:ascii="Times New Roman" w:hAnsi="Times New Roman" w:cs="Times New Roman"/>
          <w:color w:val="FF6600"/>
          <w:sz w:val="26"/>
          <w:szCs w:val="26"/>
          <w:lang w:val="en-HK"/>
        </w:rPr>
        <w:t xml:space="preserve">( </w:t>
      </w:r>
      <w:r w:rsidRPr="001328D5">
        <w:rPr>
          <w:rFonts w:ascii="Times New Roman" w:hAnsi="Times New Roman" w:cs="Times New Roman"/>
          <w:i/>
          <w:iCs/>
          <w:color w:val="FF6600"/>
          <w:sz w:val="26"/>
          <w:szCs w:val="26"/>
          <w:lang w:val="en-HK"/>
        </w:rPr>
        <w:t>Re</w:t>
      </w:r>
      <w:proofErr w:type="gramEnd"/>
      <w:r w:rsidRPr="001328D5">
        <w:rPr>
          <w:rFonts w:ascii="Times New Roman" w:hAnsi="Times New Roman" w:cs="Times New Roman"/>
          <w:i/>
          <w:iCs/>
          <w:color w:val="FF6600"/>
          <w:sz w:val="26"/>
          <w:szCs w:val="26"/>
          <w:lang w:val="en-HK"/>
        </w:rPr>
        <w:t xml:space="preserve"> Yorkshire </w:t>
      </w:r>
      <w:proofErr w:type="spellStart"/>
      <w:r w:rsidRPr="001328D5">
        <w:rPr>
          <w:rFonts w:ascii="Times New Roman" w:hAnsi="Times New Roman" w:cs="Times New Roman"/>
          <w:i/>
          <w:iCs/>
          <w:color w:val="FF6600"/>
          <w:sz w:val="26"/>
          <w:szCs w:val="26"/>
          <w:lang w:val="en-HK"/>
        </w:rPr>
        <w:t>Woolcombers</w:t>
      </w:r>
      <w:proofErr w:type="spellEnd"/>
      <w:r w:rsidRPr="001328D5">
        <w:rPr>
          <w:rFonts w:ascii="Times New Roman" w:hAnsi="Times New Roman" w:cs="Times New Roman"/>
          <w:i/>
          <w:iCs/>
          <w:color w:val="FF6600"/>
          <w:sz w:val="26"/>
          <w:szCs w:val="26"/>
          <w:lang w:val="en-HK"/>
        </w:rPr>
        <w:t xml:space="preserve"> Association [1903] 2 Ch 284</w:t>
      </w:r>
      <w:r w:rsidRPr="001328D5">
        <w:rPr>
          <w:rFonts w:ascii="Times New Roman" w:hAnsi="Times New Roman" w:cs="Times New Roman"/>
          <w:color w:val="FF6600"/>
          <w:sz w:val="26"/>
          <w:szCs w:val="26"/>
          <w:lang w:val="en-HK"/>
        </w:rPr>
        <w:t xml:space="preserve">). However, the debenture’s explicit </w:t>
      </w:r>
      <w:proofErr w:type="spellStart"/>
      <w:r w:rsidRPr="001328D5">
        <w:rPr>
          <w:rFonts w:ascii="Times New Roman" w:hAnsi="Times New Roman" w:cs="Times New Roman"/>
          <w:color w:val="FF6600"/>
          <w:sz w:val="26"/>
          <w:szCs w:val="26"/>
          <w:lang w:val="en-HK"/>
        </w:rPr>
        <w:t>labeling</w:t>
      </w:r>
      <w:proofErr w:type="spellEnd"/>
      <w:r w:rsidRPr="001328D5">
        <w:rPr>
          <w:rFonts w:ascii="Times New Roman" w:hAnsi="Times New Roman" w:cs="Times New Roman"/>
          <w:color w:val="FF6600"/>
          <w:sz w:val="26"/>
          <w:szCs w:val="26"/>
          <w:lang w:val="en-HK"/>
        </w:rPr>
        <w:t xml:space="preserve"> as a fixed charge, combined with no evidence of A Ltd having freedom to dispose of the machinery, supports the conclusion that this is a fixed charge.</w:t>
      </w:r>
    </w:p>
    <w:p w14:paraId="0F288901" w14:textId="77777777" w:rsidR="001328D5" w:rsidRPr="001328D5" w:rsidRDefault="001328D5" w:rsidP="001328D5">
      <w:pPr>
        <w:jc w:val="both"/>
        <w:rPr>
          <w:rFonts w:ascii="Times New Roman" w:hAnsi="Times New Roman" w:cs="Times New Roman"/>
          <w:color w:val="FF6600"/>
          <w:sz w:val="26"/>
          <w:szCs w:val="26"/>
        </w:rPr>
      </w:pPr>
    </w:p>
    <w:p w14:paraId="211CAE0D" w14:textId="77777777" w:rsidR="001328D5" w:rsidRPr="001328D5" w:rsidRDefault="001328D5" w:rsidP="001328D5">
      <w:pPr>
        <w:pStyle w:val="a9"/>
        <w:numPr>
          <w:ilvl w:val="0"/>
          <w:numId w:val="5"/>
        </w:numPr>
        <w:jc w:val="both"/>
        <w:rPr>
          <w:rFonts w:ascii="Times New Roman" w:hAnsi="Times New Roman" w:cs="Times New Roman"/>
          <w:color w:val="FF6600"/>
          <w:sz w:val="26"/>
          <w:szCs w:val="26"/>
        </w:rPr>
      </w:pPr>
      <w:r w:rsidRPr="001328D5">
        <w:rPr>
          <w:rFonts w:ascii="Times New Roman" w:hAnsi="Times New Roman" w:cs="Times New Roman"/>
          <w:color w:val="FF6600"/>
          <w:sz w:val="26"/>
          <w:szCs w:val="26"/>
        </w:rPr>
        <w:t>Book debt:</w:t>
      </w:r>
    </w:p>
    <w:p w14:paraId="644DF586" w14:textId="77777777" w:rsidR="001328D5" w:rsidRPr="001328D5" w:rsidRDefault="001328D5" w:rsidP="001328D5">
      <w:pPr>
        <w:jc w:val="both"/>
        <w:rPr>
          <w:rFonts w:ascii="Times New Roman" w:hAnsi="Times New Roman" w:cs="Times New Roman"/>
          <w:color w:val="FF6600"/>
          <w:sz w:val="26"/>
          <w:szCs w:val="26"/>
          <w:u w:val="single"/>
          <w:lang w:val="en-HK"/>
        </w:rPr>
      </w:pPr>
      <w:r w:rsidRPr="00D836EB">
        <w:rPr>
          <w:rFonts w:ascii="Times New Roman" w:hAnsi="Times New Roman" w:cs="Times New Roman"/>
          <w:b/>
          <w:bCs/>
          <w:color w:val="FF6600"/>
          <w:sz w:val="26"/>
          <w:szCs w:val="26"/>
          <w:lang w:val="en-HK"/>
        </w:rPr>
        <w:t>Label in the Debenture:</w:t>
      </w:r>
      <w:r w:rsidRPr="00D836EB">
        <w:rPr>
          <w:rFonts w:ascii="Times New Roman" w:hAnsi="Times New Roman" w:cs="Times New Roman"/>
          <w:color w:val="FF6600"/>
          <w:sz w:val="26"/>
          <w:szCs w:val="26"/>
          <w:u w:val="single"/>
          <w:lang w:val="en-HK"/>
        </w:rPr>
        <w:t xml:space="preserve"> </w:t>
      </w:r>
    </w:p>
    <w:p w14:paraId="1DD0F67D" w14:textId="77777777" w:rsidR="001328D5" w:rsidRPr="00D836EB" w:rsidRDefault="001328D5" w:rsidP="001328D5">
      <w:pPr>
        <w:jc w:val="both"/>
        <w:rPr>
          <w:rFonts w:ascii="Times New Roman" w:hAnsi="Times New Roman" w:cs="Times New Roman"/>
          <w:color w:val="FF6600"/>
          <w:sz w:val="26"/>
          <w:szCs w:val="26"/>
          <w:lang w:val="en-HK"/>
        </w:rPr>
      </w:pPr>
      <w:r w:rsidRPr="00D836EB">
        <w:rPr>
          <w:rFonts w:ascii="Times New Roman" w:hAnsi="Times New Roman" w:cs="Times New Roman"/>
          <w:color w:val="FF6600"/>
          <w:sz w:val="26"/>
          <w:szCs w:val="26"/>
          <w:lang w:val="en-HK"/>
        </w:rPr>
        <w:t xml:space="preserve">The debenture states that a “first specific (fixed) charge” is created over A </w:t>
      </w:r>
      <w:proofErr w:type="spellStart"/>
      <w:r w:rsidRPr="00D836EB">
        <w:rPr>
          <w:rFonts w:ascii="Times New Roman" w:hAnsi="Times New Roman" w:cs="Times New Roman"/>
          <w:color w:val="FF6600"/>
          <w:sz w:val="26"/>
          <w:szCs w:val="26"/>
          <w:lang w:val="en-HK"/>
        </w:rPr>
        <w:t>Ltd’s</w:t>
      </w:r>
      <w:proofErr w:type="spellEnd"/>
      <w:r w:rsidRPr="00D836EB">
        <w:rPr>
          <w:rFonts w:ascii="Times New Roman" w:hAnsi="Times New Roman" w:cs="Times New Roman"/>
          <w:color w:val="FF6600"/>
          <w:sz w:val="26"/>
          <w:szCs w:val="26"/>
          <w:lang w:val="en-HK"/>
        </w:rPr>
        <w:t xml:space="preserve"> present and future book debts</w:t>
      </w:r>
      <w:r w:rsidRPr="001328D5">
        <w:rPr>
          <w:rFonts w:ascii="Times New Roman" w:hAnsi="Times New Roman" w:cs="Times New Roman"/>
          <w:color w:val="FF6600"/>
          <w:sz w:val="26"/>
          <w:szCs w:val="26"/>
          <w:lang w:val="en-HK"/>
        </w:rPr>
        <w:t>’’</w:t>
      </w:r>
      <w:r w:rsidRPr="00D836EB">
        <w:rPr>
          <w:rFonts w:ascii="Times New Roman" w:hAnsi="Times New Roman" w:cs="Times New Roman"/>
          <w:color w:val="FF6600"/>
          <w:sz w:val="26"/>
          <w:szCs w:val="26"/>
          <w:lang w:val="en-HK"/>
        </w:rPr>
        <w:t>. Additionally, a clause requires A Ltd to:</w:t>
      </w:r>
    </w:p>
    <w:p w14:paraId="748CE6F5" w14:textId="77777777" w:rsidR="001328D5" w:rsidRPr="00D836EB" w:rsidRDefault="001328D5" w:rsidP="001328D5">
      <w:pPr>
        <w:numPr>
          <w:ilvl w:val="0"/>
          <w:numId w:val="3"/>
        </w:numPr>
        <w:jc w:val="both"/>
        <w:rPr>
          <w:rFonts w:ascii="Times New Roman" w:hAnsi="Times New Roman" w:cs="Times New Roman"/>
          <w:color w:val="FF6600"/>
          <w:sz w:val="26"/>
          <w:szCs w:val="26"/>
          <w:lang w:val="en-HK"/>
        </w:rPr>
      </w:pPr>
      <w:r w:rsidRPr="00D836EB">
        <w:rPr>
          <w:rFonts w:ascii="Times New Roman" w:hAnsi="Times New Roman" w:cs="Times New Roman"/>
          <w:color w:val="FF6600"/>
          <w:sz w:val="26"/>
          <w:szCs w:val="26"/>
          <w:lang w:val="en-HK"/>
        </w:rPr>
        <w:t>Pay all moneys received in respect of book debts into a designated bank account with B Bank.</w:t>
      </w:r>
    </w:p>
    <w:p w14:paraId="5C854521" w14:textId="77777777" w:rsidR="001328D5" w:rsidRPr="001328D5" w:rsidRDefault="001328D5" w:rsidP="001328D5">
      <w:pPr>
        <w:numPr>
          <w:ilvl w:val="0"/>
          <w:numId w:val="3"/>
        </w:numPr>
        <w:jc w:val="both"/>
        <w:rPr>
          <w:rFonts w:ascii="Times New Roman" w:hAnsi="Times New Roman" w:cs="Times New Roman"/>
          <w:color w:val="FF6600"/>
          <w:sz w:val="26"/>
          <w:szCs w:val="26"/>
          <w:u w:val="single"/>
          <w:lang w:val="en-HK"/>
        </w:rPr>
      </w:pPr>
      <w:r w:rsidRPr="00D836EB">
        <w:rPr>
          <w:rFonts w:ascii="Times New Roman" w:hAnsi="Times New Roman" w:cs="Times New Roman"/>
          <w:color w:val="FF6600"/>
          <w:sz w:val="26"/>
          <w:szCs w:val="26"/>
          <w:u w:val="single"/>
          <w:lang w:val="en-HK"/>
        </w:rPr>
        <w:t>Refrain from selling, factoring, discounting, or otherwise charging or assigning the book debts without B Bank’s prior written consent.</w:t>
      </w:r>
    </w:p>
    <w:p w14:paraId="7FB9F434" w14:textId="77777777" w:rsidR="001328D5" w:rsidRPr="00D836EB" w:rsidRDefault="001328D5" w:rsidP="001328D5">
      <w:pPr>
        <w:jc w:val="both"/>
        <w:rPr>
          <w:rFonts w:ascii="Times New Roman" w:hAnsi="Times New Roman" w:cs="Times New Roman"/>
          <w:color w:val="FF6600"/>
          <w:sz w:val="26"/>
          <w:szCs w:val="26"/>
          <w:lang w:val="en-HK"/>
        </w:rPr>
      </w:pPr>
      <w:r w:rsidRPr="00D836EB">
        <w:rPr>
          <w:rFonts w:ascii="Times New Roman" w:hAnsi="Times New Roman" w:cs="Times New Roman"/>
          <w:b/>
          <w:bCs/>
          <w:color w:val="FF6600"/>
          <w:sz w:val="26"/>
          <w:szCs w:val="26"/>
          <w:lang w:val="en-HK"/>
        </w:rPr>
        <w:t>Book Debts and Proceeds</w:t>
      </w:r>
      <w:r w:rsidRPr="00D836EB">
        <w:rPr>
          <w:rFonts w:ascii="Times New Roman" w:hAnsi="Times New Roman" w:cs="Times New Roman"/>
          <w:color w:val="FF6600"/>
          <w:sz w:val="26"/>
          <w:szCs w:val="26"/>
          <w:lang w:val="en-HK"/>
        </w:rPr>
        <w:t xml:space="preserve">: Book debts are receivables owed to the company, and their proceeds are the moneys received when those debts are paid. The Privy Council in </w:t>
      </w:r>
      <w:r w:rsidRPr="00D836EB">
        <w:rPr>
          <w:rFonts w:ascii="Times New Roman" w:hAnsi="Times New Roman" w:cs="Times New Roman"/>
          <w:i/>
          <w:iCs/>
          <w:color w:val="FF6600"/>
          <w:sz w:val="26"/>
          <w:szCs w:val="26"/>
          <w:lang w:val="en-HK"/>
        </w:rPr>
        <w:t>Agnew v Commissioner of Inland Revenue</w:t>
      </w:r>
      <w:r w:rsidRPr="00D836EB">
        <w:rPr>
          <w:rFonts w:ascii="Times New Roman" w:hAnsi="Times New Roman" w:cs="Times New Roman"/>
          <w:color w:val="FF6600"/>
          <w:sz w:val="26"/>
          <w:szCs w:val="26"/>
          <w:lang w:val="en-HK"/>
        </w:rPr>
        <w:t xml:space="preserve"> [2001] UKPC 28 clarified that the nature of a charge over book debts depends on the control over both the uncollected book debts and their proceeds. It is commercially nonsensical to separate the two, as the value of book debts lies in their proceeds. </w:t>
      </w:r>
    </w:p>
    <w:p w14:paraId="1BDA5A57" w14:textId="77777777" w:rsidR="001328D5" w:rsidRPr="00D836EB" w:rsidRDefault="001328D5" w:rsidP="001328D5">
      <w:pPr>
        <w:jc w:val="both"/>
        <w:rPr>
          <w:rFonts w:ascii="Times New Roman" w:hAnsi="Times New Roman" w:cs="Times New Roman"/>
          <w:color w:val="FF6600"/>
          <w:sz w:val="26"/>
          <w:szCs w:val="26"/>
          <w:lang w:val="en-HK"/>
        </w:rPr>
      </w:pPr>
      <w:r w:rsidRPr="00D836EB">
        <w:rPr>
          <w:rFonts w:ascii="Times New Roman" w:hAnsi="Times New Roman" w:cs="Times New Roman"/>
          <w:b/>
          <w:bCs/>
          <w:color w:val="FF6600"/>
          <w:sz w:val="26"/>
          <w:szCs w:val="26"/>
          <w:lang w:val="en-HK"/>
        </w:rPr>
        <w:t>Control Over Book Debts</w:t>
      </w:r>
      <w:r w:rsidRPr="00D836EB">
        <w:rPr>
          <w:rFonts w:ascii="Times New Roman" w:hAnsi="Times New Roman" w:cs="Times New Roman"/>
          <w:color w:val="FF6600"/>
          <w:sz w:val="26"/>
          <w:szCs w:val="26"/>
          <w:lang w:val="en-HK"/>
        </w:rPr>
        <w:t xml:space="preserve">: </w:t>
      </w:r>
    </w:p>
    <w:p w14:paraId="22C8815E" w14:textId="77777777" w:rsidR="001328D5" w:rsidRPr="00D836EB" w:rsidRDefault="001328D5" w:rsidP="001328D5">
      <w:pPr>
        <w:numPr>
          <w:ilvl w:val="0"/>
          <w:numId w:val="4"/>
        </w:numPr>
        <w:jc w:val="both"/>
        <w:rPr>
          <w:rFonts w:ascii="Times New Roman" w:hAnsi="Times New Roman" w:cs="Times New Roman"/>
          <w:color w:val="FF6600"/>
          <w:sz w:val="26"/>
          <w:szCs w:val="26"/>
          <w:lang w:val="en-HK"/>
        </w:rPr>
      </w:pPr>
      <w:r w:rsidRPr="00D836EB">
        <w:rPr>
          <w:rFonts w:ascii="Times New Roman" w:hAnsi="Times New Roman" w:cs="Times New Roman"/>
          <w:color w:val="FF6600"/>
          <w:sz w:val="26"/>
          <w:szCs w:val="26"/>
          <w:lang w:val="en-HK"/>
        </w:rPr>
        <w:t>The debenture prohibits A Ltd from selling, factoring, discounting, or assigning book debts without B Bank’s prior written consent. This suggests significant control by B Bank over the uncollected book debts, pointing toward a fixed charge.</w:t>
      </w:r>
    </w:p>
    <w:p w14:paraId="0117AAC0" w14:textId="77777777" w:rsidR="001328D5" w:rsidRPr="00D836EB" w:rsidRDefault="001328D5" w:rsidP="001328D5">
      <w:pPr>
        <w:numPr>
          <w:ilvl w:val="0"/>
          <w:numId w:val="4"/>
        </w:numPr>
        <w:jc w:val="both"/>
        <w:rPr>
          <w:rFonts w:ascii="Times New Roman" w:hAnsi="Times New Roman" w:cs="Times New Roman"/>
          <w:color w:val="FF6600"/>
          <w:sz w:val="26"/>
          <w:szCs w:val="26"/>
          <w:lang w:val="en-HK"/>
        </w:rPr>
      </w:pPr>
      <w:r w:rsidRPr="00D836EB">
        <w:rPr>
          <w:rFonts w:ascii="Times New Roman" w:hAnsi="Times New Roman" w:cs="Times New Roman"/>
          <w:color w:val="FF6600"/>
          <w:sz w:val="26"/>
          <w:szCs w:val="26"/>
          <w:lang w:val="en-HK"/>
        </w:rPr>
        <w:t>However, the clause requires A Ltd to pay the proceeds of the book debts into a specific bank account with B Bank. The critical question is whether A Ltd has freedom to use the proceeds once they are in this account.</w:t>
      </w:r>
    </w:p>
    <w:p w14:paraId="03FE32B0" w14:textId="77777777" w:rsidR="001328D5" w:rsidRPr="001328D5" w:rsidRDefault="001328D5" w:rsidP="001328D5">
      <w:pPr>
        <w:pStyle w:val="a9"/>
        <w:numPr>
          <w:ilvl w:val="0"/>
          <w:numId w:val="1"/>
        </w:numPr>
        <w:jc w:val="both"/>
        <w:rPr>
          <w:rFonts w:ascii="Times New Roman" w:hAnsi="Times New Roman" w:cs="Times New Roman"/>
          <w:color w:val="000000" w:themeColor="text1"/>
          <w:sz w:val="26"/>
          <w:szCs w:val="26"/>
        </w:rPr>
      </w:pPr>
      <w:r w:rsidRPr="001328D5">
        <w:rPr>
          <w:rFonts w:ascii="Times New Roman" w:hAnsi="Times New Roman" w:cs="Times New Roman"/>
          <w:color w:val="000000" w:themeColor="text1"/>
          <w:sz w:val="26"/>
          <w:szCs w:val="26"/>
        </w:rPr>
        <w:t xml:space="preserve">Lovely Ltd owned shares in May Ltd and deposited the </w:t>
      </w:r>
      <w:r w:rsidRPr="001328D5">
        <w:rPr>
          <w:rFonts w:ascii="Times New Roman" w:hAnsi="Times New Roman" w:cs="Times New Roman"/>
          <w:color w:val="000000" w:themeColor="text1"/>
          <w:sz w:val="26"/>
          <w:szCs w:val="26"/>
          <w:highlight w:val="yellow"/>
        </w:rPr>
        <w:t>share certificates</w:t>
      </w:r>
      <w:r w:rsidRPr="001328D5">
        <w:rPr>
          <w:rFonts w:ascii="Times New Roman" w:hAnsi="Times New Roman" w:cs="Times New Roman"/>
          <w:color w:val="000000" w:themeColor="text1"/>
          <w:sz w:val="26"/>
          <w:szCs w:val="26"/>
        </w:rPr>
        <w:t xml:space="preserve"> for those shares with Nature Bank as security for a loan of $500,000 from Nature Bank. Lovely Ltd also deposited with Nature Bank </w:t>
      </w:r>
      <w:r w:rsidRPr="001328D5">
        <w:rPr>
          <w:rFonts w:ascii="Times New Roman" w:hAnsi="Times New Roman" w:cs="Times New Roman"/>
          <w:color w:val="000000" w:themeColor="text1"/>
          <w:sz w:val="26"/>
          <w:szCs w:val="26"/>
          <w:highlight w:val="yellow"/>
        </w:rPr>
        <w:t>duly signed share transfer documents for the shares in May Ltd with Nature Bank stated as the transferee in the share transfer document</w:t>
      </w:r>
      <w:r w:rsidRPr="001328D5">
        <w:rPr>
          <w:rFonts w:ascii="Times New Roman" w:hAnsi="Times New Roman" w:cs="Times New Roman"/>
          <w:color w:val="000000" w:themeColor="text1"/>
          <w:sz w:val="26"/>
          <w:szCs w:val="26"/>
        </w:rPr>
        <w:t xml:space="preserve">. Subsequently, Lovely Ltd informs Nature Bank that it is unable to repay the loan. Advise Nature Bank as to what kind of security (if any) it has over the shares in May Ltd. </w:t>
      </w:r>
    </w:p>
    <w:p w14:paraId="49EB407C" w14:textId="77777777" w:rsidR="001328D5" w:rsidRPr="00FC3072" w:rsidRDefault="001328D5" w:rsidP="001328D5">
      <w:pPr>
        <w:jc w:val="both"/>
        <w:rPr>
          <w:rFonts w:ascii="Times New Roman" w:hAnsi="Times New Roman" w:cs="Times New Roman"/>
          <w:b/>
          <w:bCs/>
          <w:color w:val="FF6600"/>
          <w:sz w:val="26"/>
          <w:szCs w:val="26"/>
          <w:lang w:val="en-HK"/>
        </w:rPr>
      </w:pPr>
      <w:r w:rsidRPr="00FC3072">
        <w:rPr>
          <w:rFonts w:ascii="Times New Roman" w:hAnsi="Times New Roman" w:cs="Times New Roman"/>
          <w:b/>
          <w:bCs/>
          <w:color w:val="FF6600"/>
          <w:sz w:val="26"/>
          <w:szCs w:val="26"/>
          <w:lang w:val="en-HK"/>
        </w:rPr>
        <w:t>Issue</w:t>
      </w:r>
      <w:r w:rsidRPr="001328D5">
        <w:rPr>
          <w:rFonts w:ascii="Times New Roman" w:hAnsi="Times New Roman" w:cs="Times New Roman"/>
          <w:b/>
          <w:bCs/>
          <w:color w:val="FF6600"/>
          <w:sz w:val="26"/>
          <w:szCs w:val="26"/>
          <w:lang w:val="en-HK"/>
        </w:rPr>
        <w:t>:</w:t>
      </w:r>
    </w:p>
    <w:p w14:paraId="6115C35F" w14:textId="77777777" w:rsidR="001328D5" w:rsidRPr="00FC3072" w:rsidRDefault="001328D5" w:rsidP="001328D5">
      <w:pPr>
        <w:jc w:val="both"/>
        <w:rPr>
          <w:rFonts w:ascii="Times New Roman" w:hAnsi="Times New Roman" w:cs="Times New Roman"/>
          <w:color w:val="FF6600"/>
          <w:sz w:val="26"/>
          <w:szCs w:val="26"/>
          <w:lang w:val="en-HK"/>
        </w:rPr>
      </w:pPr>
      <w:r w:rsidRPr="00FC3072">
        <w:rPr>
          <w:rFonts w:ascii="Times New Roman" w:hAnsi="Times New Roman" w:cs="Times New Roman"/>
          <w:color w:val="FF6600"/>
          <w:sz w:val="26"/>
          <w:szCs w:val="26"/>
          <w:lang w:val="en-HK"/>
        </w:rPr>
        <w:t>Determine the type of security interest (if any) Nature Bank holds over the shares in May Ltd owned by Lovely Ltd, given that Lovely Ltd deposited share certificates and duly signed share transfer documents (naming Nature Bank as transferee) as security for a $500,000 loan and has defaulted on repayment.</w:t>
      </w:r>
    </w:p>
    <w:p w14:paraId="1AF50ACD" w14:textId="77777777" w:rsidR="001328D5" w:rsidRPr="001328D5" w:rsidRDefault="001328D5" w:rsidP="001328D5">
      <w:pPr>
        <w:pStyle w:val="a9"/>
        <w:numPr>
          <w:ilvl w:val="0"/>
          <w:numId w:val="8"/>
        </w:numPr>
        <w:tabs>
          <w:tab w:val="num" w:pos="720"/>
        </w:tabs>
        <w:jc w:val="both"/>
        <w:rPr>
          <w:rFonts w:ascii="Times New Roman" w:hAnsi="Times New Roman" w:cs="Times New Roman"/>
          <w:color w:val="FF6600"/>
          <w:sz w:val="26"/>
          <w:szCs w:val="26"/>
          <w:lang w:val="en-HK"/>
        </w:rPr>
      </w:pPr>
      <w:r w:rsidRPr="001328D5">
        <w:rPr>
          <w:rFonts w:ascii="Times New Roman" w:hAnsi="Times New Roman" w:cs="Times New Roman"/>
          <w:b/>
          <w:bCs/>
          <w:color w:val="FF6600"/>
          <w:sz w:val="26"/>
          <w:szCs w:val="26"/>
          <w:lang w:val="en-HK"/>
        </w:rPr>
        <w:t>Legal vs. Equitable Mortgage</w:t>
      </w:r>
      <w:r w:rsidRPr="001328D5">
        <w:rPr>
          <w:rFonts w:ascii="Times New Roman" w:hAnsi="Times New Roman" w:cs="Times New Roman"/>
          <w:color w:val="FF6600"/>
          <w:sz w:val="26"/>
          <w:szCs w:val="26"/>
          <w:lang w:val="en-HK"/>
        </w:rPr>
        <w:t>: A legal mortgage over shares requires the transfer of legal title to the lender, typically through registration of the share transfer in the company’s register, with the mortgagor retaining an equitable right of redemption. An equitable mortgage arises when formalities for a legal mortgage are incomplete or when the parties intend to create a mortgage without transferring legal title.</w:t>
      </w:r>
    </w:p>
    <w:p w14:paraId="45AC148B" w14:textId="77777777" w:rsidR="001328D5" w:rsidRPr="00FC3072" w:rsidRDefault="001328D5" w:rsidP="001328D5">
      <w:pPr>
        <w:numPr>
          <w:ilvl w:val="0"/>
          <w:numId w:val="6"/>
        </w:numPr>
        <w:jc w:val="both"/>
        <w:rPr>
          <w:rFonts w:ascii="Times New Roman" w:hAnsi="Times New Roman" w:cs="Times New Roman"/>
          <w:color w:val="FF6600"/>
          <w:sz w:val="26"/>
          <w:szCs w:val="26"/>
          <w:lang w:val="en-HK"/>
        </w:rPr>
      </w:pPr>
      <w:r w:rsidRPr="00FC3072">
        <w:rPr>
          <w:rFonts w:ascii="Times New Roman" w:hAnsi="Times New Roman" w:cs="Times New Roman"/>
          <w:b/>
          <w:bCs/>
          <w:color w:val="FF6600"/>
          <w:sz w:val="26"/>
          <w:szCs w:val="26"/>
          <w:lang w:val="en-HK"/>
        </w:rPr>
        <w:t>Pledge</w:t>
      </w:r>
      <w:r w:rsidRPr="00FC3072">
        <w:rPr>
          <w:rFonts w:ascii="Times New Roman" w:hAnsi="Times New Roman" w:cs="Times New Roman"/>
          <w:color w:val="FF6600"/>
          <w:sz w:val="26"/>
          <w:szCs w:val="26"/>
          <w:lang w:val="en-HK"/>
        </w:rPr>
        <w:t>: A pledge requires delivery of possession of tangible assets to the lender. Shares, being intangible choses in action, cannot be pledged (</w:t>
      </w:r>
      <w:r w:rsidRPr="00FC3072">
        <w:rPr>
          <w:rFonts w:ascii="Times New Roman" w:hAnsi="Times New Roman" w:cs="Times New Roman"/>
          <w:i/>
          <w:iCs/>
          <w:color w:val="FF6600"/>
          <w:sz w:val="26"/>
          <w:szCs w:val="26"/>
          <w:lang w:val="en-HK"/>
        </w:rPr>
        <w:t xml:space="preserve">Bank of China (Hong Kong) Ltd v </w:t>
      </w:r>
      <w:proofErr w:type="spellStart"/>
      <w:r w:rsidRPr="00FC3072">
        <w:rPr>
          <w:rFonts w:ascii="Times New Roman" w:hAnsi="Times New Roman" w:cs="Times New Roman"/>
          <w:i/>
          <w:iCs/>
          <w:color w:val="FF6600"/>
          <w:sz w:val="26"/>
          <w:szCs w:val="26"/>
          <w:lang w:val="en-HK"/>
        </w:rPr>
        <w:t>Kanishi</w:t>
      </w:r>
      <w:proofErr w:type="spellEnd"/>
      <w:r w:rsidRPr="00FC3072">
        <w:rPr>
          <w:rFonts w:ascii="Times New Roman" w:hAnsi="Times New Roman" w:cs="Times New Roman"/>
          <w:i/>
          <w:iCs/>
          <w:color w:val="FF6600"/>
          <w:sz w:val="26"/>
          <w:szCs w:val="26"/>
          <w:lang w:val="en-HK"/>
        </w:rPr>
        <w:t xml:space="preserve"> (Far East) Ltd</w:t>
      </w:r>
      <w:r w:rsidRPr="00FC3072">
        <w:rPr>
          <w:rFonts w:ascii="Times New Roman" w:hAnsi="Times New Roman" w:cs="Times New Roman"/>
          <w:color w:val="FF6600"/>
          <w:sz w:val="26"/>
          <w:szCs w:val="26"/>
          <w:lang w:val="en-HK"/>
        </w:rPr>
        <w:t xml:space="preserve"> [2002] 2 HKLRD 52).</w:t>
      </w:r>
    </w:p>
    <w:p w14:paraId="759CE991" w14:textId="77777777" w:rsidR="001328D5" w:rsidRPr="00FC3072" w:rsidRDefault="001328D5" w:rsidP="001328D5">
      <w:pPr>
        <w:numPr>
          <w:ilvl w:val="0"/>
          <w:numId w:val="6"/>
        </w:numPr>
        <w:jc w:val="both"/>
        <w:rPr>
          <w:rFonts w:ascii="Times New Roman" w:hAnsi="Times New Roman" w:cs="Times New Roman"/>
          <w:color w:val="FF6600"/>
          <w:sz w:val="26"/>
          <w:szCs w:val="26"/>
          <w:lang w:val="en-HK"/>
        </w:rPr>
      </w:pPr>
      <w:r w:rsidRPr="00FC3072">
        <w:rPr>
          <w:rFonts w:ascii="Times New Roman" w:hAnsi="Times New Roman" w:cs="Times New Roman"/>
          <w:b/>
          <w:bCs/>
          <w:color w:val="FF6600"/>
          <w:sz w:val="26"/>
          <w:szCs w:val="26"/>
          <w:lang w:val="en-HK"/>
        </w:rPr>
        <w:t>Equitable Mortgage Creation</w:t>
      </w:r>
      <w:r w:rsidRPr="00FC3072">
        <w:rPr>
          <w:rFonts w:ascii="Times New Roman" w:hAnsi="Times New Roman" w:cs="Times New Roman"/>
          <w:color w:val="FF6600"/>
          <w:sz w:val="26"/>
          <w:szCs w:val="26"/>
          <w:lang w:val="en-HK"/>
        </w:rPr>
        <w:t>: An equitable mortgage over shares can be created by depositing share certificates and/or signed share transfer documents with the lender, provided there is evidence of an intention to create a security interest. The deposit of title documents, coupled with an intention to secure a loan, is sufficient to create an equitable mortgage, even without formal registration.</w:t>
      </w:r>
    </w:p>
    <w:p w14:paraId="1FB94E0C" w14:textId="77777777" w:rsidR="001328D5" w:rsidRPr="00FC3072" w:rsidRDefault="001328D5" w:rsidP="001328D5">
      <w:pPr>
        <w:numPr>
          <w:ilvl w:val="0"/>
          <w:numId w:val="6"/>
        </w:numPr>
        <w:jc w:val="both"/>
        <w:rPr>
          <w:rFonts w:ascii="Times New Roman" w:hAnsi="Times New Roman" w:cs="Times New Roman"/>
          <w:color w:val="FF6600"/>
          <w:sz w:val="26"/>
          <w:szCs w:val="26"/>
          <w:lang w:val="en-HK"/>
        </w:rPr>
      </w:pPr>
      <w:r w:rsidRPr="00FC3072">
        <w:rPr>
          <w:rFonts w:ascii="Times New Roman" w:hAnsi="Times New Roman" w:cs="Times New Roman"/>
          <w:b/>
          <w:bCs/>
          <w:color w:val="FF6600"/>
          <w:sz w:val="26"/>
          <w:szCs w:val="26"/>
          <w:lang w:val="en-HK"/>
        </w:rPr>
        <w:t>Charges</w:t>
      </w:r>
      <w:r w:rsidRPr="00FC3072">
        <w:rPr>
          <w:rFonts w:ascii="Times New Roman" w:hAnsi="Times New Roman" w:cs="Times New Roman"/>
          <w:color w:val="FF6600"/>
          <w:sz w:val="26"/>
          <w:szCs w:val="26"/>
          <w:lang w:val="en-HK"/>
        </w:rPr>
        <w:t>: A charge (fixed or floating) does not involve the transfer of ownership but grants the lender a right over the asset. Shares are typically subject to mortgages rather than charges, as charges are more common for fluctuating assets or where ownership transfer is not intended.</w:t>
      </w:r>
    </w:p>
    <w:p w14:paraId="22F3EB44" w14:textId="77777777" w:rsidR="001328D5" w:rsidRPr="00FC3072" w:rsidRDefault="001328D5" w:rsidP="001328D5">
      <w:pPr>
        <w:jc w:val="both"/>
        <w:rPr>
          <w:rFonts w:ascii="Times New Roman" w:hAnsi="Times New Roman" w:cs="Times New Roman"/>
          <w:b/>
          <w:bCs/>
          <w:color w:val="FF6600"/>
          <w:sz w:val="26"/>
          <w:szCs w:val="26"/>
          <w:lang w:val="en-HK"/>
        </w:rPr>
      </w:pPr>
      <w:r w:rsidRPr="00FC3072">
        <w:rPr>
          <w:rFonts w:ascii="Times New Roman" w:hAnsi="Times New Roman" w:cs="Times New Roman"/>
          <w:b/>
          <w:bCs/>
          <w:color w:val="FF6600"/>
          <w:sz w:val="26"/>
          <w:szCs w:val="26"/>
          <w:lang w:val="en-HK"/>
        </w:rPr>
        <w:t>Analysis</w:t>
      </w:r>
    </w:p>
    <w:p w14:paraId="02955F6E" w14:textId="77777777" w:rsidR="001328D5" w:rsidRPr="00FC3072" w:rsidRDefault="001328D5" w:rsidP="001328D5">
      <w:pPr>
        <w:jc w:val="both"/>
        <w:rPr>
          <w:rFonts w:ascii="Times New Roman" w:hAnsi="Times New Roman" w:cs="Times New Roman"/>
          <w:b/>
          <w:bCs/>
          <w:color w:val="FF6600"/>
          <w:sz w:val="26"/>
          <w:szCs w:val="26"/>
          <w:lang w:val="en-HK"/>
        </w:rPr>
      </w:pPr>
      <w:r w:rsidRPr="00FC3072">
        <w:rPr>
          <w:rFonts w:ascii="Times New Roman" w:hAnsi="Times New Roman" w:cs="Times New Roman"/>
          <w:b/>
          <w:bCs/>
          <w:color w:val="FF6600"/>
          <w:sz w:val="26"/>
          <w:szCs w:val="26"/>
          <w:lang w:val="en-HK"/>
        </w:rPr>
        <w:t>Nature of the Security</w:t>
      </w:r>
    </w:p>
    <w:p w14:paraId="377ABCA1" w14:textId="77777777" w:rsidR="001328D5" w:rsidRPr="00FC3072" w:rsidRDefault="001328D5" w:rsidP="001328D5">
      <w:pPr>
        <w:numPr>
          <w:ilvl w:val="0"/>
          <w:numId w:val="7"/>
        </w:numPr>
        <w:jc w:val="both"/>
        <w:rPr>
          <w:rFonts w:ascii="Times New Roman" w:hAnsi="Times New Roman" w:cs="Times New Roman"/>
          <w:color w:val="FF6600"/>
          <w:sz w:val="26"/>
          <w:szCs w:val="26"/>
          <w:lang w:val="en-HK"/>
        </w:rPr>
      </w:pPr>
      <w:r w:rsidRPr="00FC3072">
        <w:rPr>
          <w:rFonts w:ascii="Times New Roman" w:hAnsi="Times New Roman" w:cs="Times New Roman"/>
          <w:b/>
          <w:bCs/>
          <w:color w:val="FF6600"/>
          <w:sz w:val="26"/>
          <w:szCs w:val="26"/>
          <w:lang w:val="en-HK"/>
        </w:rPr>
        <w:t>Facts</w:t>
      </w:r>
      <w:r w:rsidRPr="00FC3072">
        <w:rPr>
          <w:rFonts w:ascii="Times New Roman" w:hAnsi="Times New Roman" w:cs="Times New Roman"/>
          <w:color w:val="FF6600"/>
          <w:sz w:val="26"/>
          <w:szCs w:val="26"/>
          <w:lang w:val="en-HK"/>
        </w:rPr>
        <w:t xml:space="preserve">: Lovely Ltd deposited share certificates for shares in May Ltd and duly signed share transfer documents (naming Nature Bank as transferee) with Nature Bank as security for a $500,000 loan. There is no indication that the share transfer was registered in May </w:t>
      </w:r>
      <w:proofErr w:type="spellStart"/>
      <w:r w:rsidRPr="00FC3072">
        <w:rPr>
          <w:rFonts w:ascii="Times New Roman" w:hAnsi="Times New Roman" w:cs="Times New Roman"/>
          <w:color w:val="FF6600"/>
          <w:sz w:val="26"/>
          <w:szCs w:val="26"/>
          <w:lang w:val="en-HK"/>
        </w:rPr>
        <w:t>Ltd’s</w:t>
      </w:r>
      <w:proofErr w:type="spellEnd"/>
      <w:r w:rsidRPr="00FC3072">
        <w:rPr>
          <w:rFonts w:ascii="Times New Roman" w:hAnsi="Times New Roman" w:cs="Times New Roman"/>
          <w:color w:val="FF6600"/>
          <w:sz w:val="26"/>
          <w:szCs w:val="26"/>
          <w:lang w:val="en-HK"/>
        </w:rPr>
        <w:t xml:space="preserve"> share register, and Lovely Ltd has defaulted on the loan.</w:t>
      </w:r>
    </w:p>
    <w:p w14:paraId="7AA332C5" w14:textId="77777777" w:rsidR="001328D5" w:rsidRPr="00FC3072" w:rsidRDefault="001328D5" w:rsidP="001328D5">
      <w:pPr>
        <w:numPr>
          <w:ilvl w:val="0"/>
          <w:numId w:val="7"/>
        </w:numPr>
        <w:jc w:val="both"/>
        <w:rPr>
          <w:rFonts w:ascii="Times New Roman" w:hAnsi="Times New Roman" w:cs="Times New Roman"/>
          <w:color w:val="FF6600"/>
          <w:sz w:val="26"/>
          <w:szCs w:val="26"/>
          <w:lang w:val="en-HK"/>
        </w:rPr>
      </w:pPr>
      <w:r w:rsidRPr="00FC3072">
        <w:rPr>
          <w:rFonts w:ascii="Times New Roman" w:hAnsi="Times New Roman" w:cs="Times New Roman"/>
          <w:b/>
          <w:bCs/>
          <w:color w:val="FF6600"/>
          <w:sz w:val="26"/>
          <w:szCs w:val="26"/>
          <w:lang w:val="en-HK"/>
        </w:rPr>
        <w:t>Pledge</w:t>
      </w:r>
      <w:r w:rsidRPr="00FC3072">
        <w:rPr>
          <w:rFonts w:ascii="Times New Roman" w:hAnsi="Times New Roman" w:cs="Times New Roman"/>
          <w:color w:val="FF6600"/>
          <w:sz w:val="26"/>
          <w:szCs w:val="26"/>
          <w:lang w:val="en-HK"/>
        </w:rPr>
        <w:t>: A pledge is not possible because shares are intangible choses in action, not tangible assets capable of possession (</w:t>
      </w:r>
      <w:r w:rsidRPr="00FC3072">
        <w:rPr>
          <w:rFonts w:ascii="Times New Roman" w:hAnsi="Times New Roman" w:cs="Times New Roman"/>
          <w:i/>
          <w:iCs/>
          <w:color w:val="FF6600"/>
          <w:sz w:val="26"/>
          <w:szCs w:val="26"/>
          <w:lang w:val="en-HK"/>
        </w:rPr>
        <w:t xml:space="preserve">Bank of China (Hong Kong) Ltd v </w:t>
      </w:r>
      <w:proofErr w:type="spellStart"/>
      <w:r w:rsidRPr="00FC3072">
        <w:rPr>
          <w:rFonts w:ascii="Times New Roman" w:hAnsi="Times New Roman" w:cs="Times New Roman"/>
          <w:i/>
          <w:iCs/>
          <w:color w:val="FF6600"/>
          <w:sz w:val="26"/>
          <w:szCs w:val="26"/>
          <w:lang w:val="en-HK"/>
        </w:rPr>
        <w:t>Kanishi</w:t>
      </w:r>
      <w:proofErr w:type="spellEnd"/>
      <w:r w:rsidRPr="00FC3072">
        <w:rPr>
          <w:rFonts w:ascii="Times New Roman" w:hAnsi="Times New Roman" w:cs="Times New Roman"/>
          <w:color w:val="FF6600"/>
          <w:sz w:val="26"/>
          <w:szCs w:val="26"/>
          <w:lang w:val="en-HK"/>
        </w:rPr>
        <w:t xml:space="preserve">). The court in </w:t>
      </w:r>
      <w:proofErr w:type="spellStart"/>
      <w:r w:rsidRPr="00FC3072">
        <w:rPr>
          <w:rFonts w:ascii="Times New Roman" w:hAnsi="Times New Roman" w:cs="Times New Roman"/>
          <w:i/>
          <w:iCs/>
          <w:color w:val="FF6600"/>
          <w:sz w:val="26"/>
          <w:szCs w:val="26"/>
          <w:lang w:val="en-HK"/>
        </w:rPr>
        <w:t>Kanishi</w:t>
      </w:r>
      <w:proofErr w:type="spellEnd"/>
      <w:r w:rsidRPr="00FC3072">
        <w:rPr>
          <w:rFonts w:ascii="Times New Roman" w:hAnsi="Times New Roman" w:cs="Times New Roman"/>
          <w:color w:val="FF6600"/>
          <w:sz w:val="26"/>
          <w:szCs w:val="26"/>
          <w:lang w:val="en-HK"/>
        </w:rPr>
        <w:t xml:space="preserve"> held that depositing share certificates and transfer documents does not constitute a pledge, as possession of physical certificates does not equate to possession of the underlying intangible rights.</w:t>
      </w:r>
    </w:p>
    <w:p w14:paraId="61DFAEF1" w14:textId="77777777" w:rsidR="001328D5" w:rsidRPr="00FC3072" w:rsidRDefault="001328D5" w:rsidP="001328D5">
      <w:pPr>
        <w:numPr>
          <w:ilvl w:val="0"/>
          <w:numId w:val="7"/>
        </w:numPr>
        <w:jc w:val="both"/>
        <w:rPr>
          <w:rFonts w:ascii="Times New Roman" w:hAnsi="Times New Roman" w:cs="Times New Roman"/>
          <w:color w:val="FF6600"/>
          <w:sz w:val="26"/>
          <w:szCs w:val="26"/>
          <w:lang w:val="en-HK"/>
        </w:rPr>
      </w:pPr>
      <w:r w:rsidRPr="00FC3072">
        <w:rPr>
          <w:rFonts w:ascii="Times New Roman" w:hAnsi="Times New Roman" w:cs="Times New Roman"/>
          <w:b/>
          <w:bCs/>
          <w:color w:val="FF6600"/>
          <w:sz w:val="26"/>
          <w:szCs w:val="26"/>
          <w:lang w:val="en-HK"/>
        </w:rPr>
        <w:t>Legal Mortgage</w:t>
      </w:r>
      <w:r w:rsidRPr="00FC3072">
        <w:rPr>
          <w:rFonts w:ascii="Times New Roman" w:hAnsi="Times New Roman" w:cs="Times New Roman"/>
          <w:color w:val="FF6600"/>
          <w:sz w:val="26"/>
          <w:szCs w:val="26"/>
          <w:lang w:val="en-HK"/>
        </w:rPr>
        <w:t xml:space="preserve">: A legal mortgage over shares requires the transfer of legal title, typically by registering the lender (Nature Bank) as the shareholder in May </w:t>
      </w:r>
      <w:proofErr w:type="spellStart"/>
      <w:r w:rsidRPr="00FC3072">
        <w:rPr>
          <w:rFonts w:ascii="Times New Roman" w:hAnsi="Times New Roman" w:cs="Times New Roman"/>
          <w:color w:val="FF6600"/>
          <w:sz w:val="26"/>
          <w:szCs w:val="26"/>
          <w:lang w:val="en-HK"/>
        </w:rPr>
        <w:t>Ltd’s</w:t>
      </w:r>
      <w:proofErr w:type="spellEnd"/>
      <w:r w:rsidRPr="00FC3072">
        <w:rPr>
          <w:rFonts w:ascii="Times New Roman" w:hAnsi="Times New Roman" w:cs="Times New Roman"/>
          <w:color w:val="FF6600"/>
          <w:sz w:val="26"/>
          <w:szCs w:val="26"/>
          <w:lang w:val="en-HK"/>
        </w:rPr>
        <w:t xml:space="preserve"> share register. Here, the share transfer documents were signed and deposited, but there is no evidence that the transfer was registered. Without registration, legal title remains with Lovely Ltd, and the formalities for a legal mortgage are incomplete.</w:t>
      </w:r>
    </w:p>
    <w:p w14:paraId="5D474BA9" w14:textId="77777777" w:rsidR="001328D5" w:rsidRPr="00FC3072" w:rsidRDefault="001328D5" w:rsidP="001328D5">
      <w:pPr>
        <w:numPr>
          <w:ilvl w:val="0"/>
          <w:numId w:val="7"/>
        </w:numPr>
        <w:jc w:val="both"/>
        <w:rPr>
          <w:rFonts w:ascii="Times New Roman" w:hAnsi="Times New Roman" w:cs="Times New Roman"/>
          <w:color w:val="FF6600"/>
          <w:sz w:val="26"/>
          <w:szCs w:val="26"/>
          <w:lang w:val="en-HK"/>
        </w:rPr>
      </w:pPr>
      <w:r w:rsidRPr="00FC3072">
        <w:rPr>
          <w:rFonts w:ascii="Times New Roman" w:hAnsi="Times New Roman" w:cs="Times New Roman"/>
          <w:b/>
          <w:bCs/>
          <w:color w:val="FF6600"/>
          <w:sz w:val="26"/>
          <w:szCs w:val="26"/>
          <w:lang w:val="en-HK"/>
        </w:rPr>
        <w:t>Equitable Mortgage</w:t>
      </w:r>
      <w:r w:rsidRPr="00FC3072">
        <w:rPr>
          <w:rFonts w:ascii="Times New Roman" w:hAnsi="Times New Roman" w:cs="Times New Roman"/>
          <w:color w:val="FF6600"/>
          <w:sz w:val="26"/>
          <w:szCs w:val="26"/>
          <w:lang w:val="en-HK"/>
        </w:rPr>
        <w:t xml:space="preserve">: An equitable mortgage can be created by depositing share certificates and/or signed share transfer documents with the lender, provided there is an intention to create a security interest. In </w:t>
      </w:r>
      <w:proofErr w:type="spellStart"/>
      <w:r w:rsidRPr="00FC3072">
        <w:rPr>
          <w:rFonts w:ascii="Times New Roman" w:hAnsi="Times New Roman" w:cs="Times New Roman"/>
          <w:i/>
          <w:iCs/>
          <w:color w:val="FF6600"/>
          <w:sz w:val="26"/>
          <w:szCs w:val="26"/>
          <w:lang w:val="en-HK"/>
        </w:rPr>
        <w:t>Kanishi</w:t>
      </w:r>
      <w:proofErr w:type="spellEnd"/>
      <w:r w:rsidRPr="00FC3072">
        <w:rPr>
          <w:rFonts w:ascii="Times New Roman" w:hAnsi="Times New Roman" w:cs="Times New Roman"/>
          <w:color w:val="FF6600"/>
          <w:sz w:val="26"/>
          <w:szCs w:val="26"/>
          <w:lang w:val="en-HK"/>
        </w:rPr>
        <w:t>, the court found that depositing share certificates and signed transfer documents (naming the lender as transferee) evidenced an intention to create an equitable mortgage, not a pledge. The deposit of these documents, coupled with the purpose of securing a loan, indicates that Lovely Ltd intended to grant Nature Bank a security interest over the shares. The signed transfer documents naming Nature Bank as transferee further support this intention, as they facilitate the lender’s ability to perfect the security by registering the transfer if needed.</w:t>
      </w:r>
    </w:p>
    <w:p w14:paraId="132E72C1" w14:textId="77777777" w:rsidR="001328D5" w:rsidRPr="00FC3072" w:rsidRDefault="001328D5" w:rsidP="001328D5">
      <w:pPr>
        <w:numPr>
          <w:ilvl w:val="0"/>
          <w:numId w:val="7"/>
        </w:numPr>
        <w:jc w:val="both"/>
        <w:rPr>
          <w:rFonts w:ascii="Times New Roman" w:hAnsi="Times New Roman" w:cs="Times New Roman"/>
          <w:color w:val="FF6600"/>
          <w:sz w:val="26"/>
          <w:szCs w:val="26"/>
          <w:lang w:val="en-HK"/>
        </w:rPr>
      </w:pPr>
      <w:r w:rsidRPr="00FC3072">
        <w:rPr>
          <w:rFonts w:ascii="Times New Roman" w:hAnsi="Times New Roman" w:cs="Times New Roman"/>
          <w:b/>
          <w:bCs/>
          <w:color w:val="FF6600"/>
          <w:sz w:val="26"/>
          <w:szCs w:val="26"/>
          <w:lang w:val="en-HK"/>
        </w:rPr>
        <w:t>Charge</w:t>
      </w:r>
      <w:r w:rsidRPr="00FC3072">
        <w:rPr>
          <w:rFonts w:ascii="Times New Roman" w:hAnsi="Times New Roman" w:cs="Times New Roman"/>
          <w:color w:val="FF6600"/>
          <w:sz w:val="26"/>
          <w:szCs w:val="26"/>
          <w:lang w:val="en-HK"/>
        </w:rPr>
        <w:t>: While a charge (fixed or floating) is possible over shares, the deposit of share certificates and signed transfer documents is more characteristic of a mortgage, as it suggests an intention to allow the lender to take ownership (via transfer) upon default. A charge typically does not involve such documents and is more common for assets like book debts or fluctuating assets. In Hong Kong, under the Companies Ordinance, a “charge” includes a mortgage, but the specific actions here (deposit of certificates and transfer documents) align with an equitable mortgage rather than a charge.</w:t>
      </w:r>
    </w:p>
    <w:p w14:paraId="77F52037" w14:textId="77777777" w:rsidR="001328D5" w:rsidRPr="00FC3072" w:rsidRDefault="001328D5" w:rsidP="001328D5">
      <w:pPr>
        <w:jc w:val="both"/>
        <w:rPr>
          <w:rFonts w:ascii="Times New Roman" w:hAnsi="Times New Roman" w:cs="Times New Roman"/>
          <w:b/>
          <w:bCs/>
          <w:color w:val="FF6600"/>
          <w:sz w:val="26"/>
          <w:szCs w:val="26"/>
          <w:lang w:val="en-HK"/>
        </w:rPr>
      </w:pPr>
      <w:r w:rsidRPr="00FC3072">
        <w:rPr>
          <w:rFonts w:ascii="Times New Roman" w:hAnsi="Times New Roman" w:cs="Times New Roman"/>
          <w:b/>
          <w:bCs/>
          <w:color w:val="FF6600"/>
          <w:sz w:val="26"/>
          <w:szCs w:val="26"/>
          <w:lang w:val="en-HK"/>
        </w:rPr>
        <w:t>Conclusion on Security Type</w:t>
      </w:r>
    </w:p>
    <w:p w14:paraId="11E1D079" w14:textId="77777777" w:rsidR="001328D5" w:rsidRPr="00FC3072" w:rsidRDefault="001328D5" w:rsidP="001328D5">
      <w:pPr>
        <w:jc w:val="both"/>
        <w:rPr>
          <w:rFonts w:ascii="Times New Roman" w:hAnsi="Times New Roman" w:cs="Times New Roman"/>
          <w:color w:val="FF6600"/>
          <w:sz w:val="26"/>
          <w:szCs w:val="26"/>
          <w:lang w:val="en-HK"/>
        </w:rPr>
      </w:pPr>
      <w:r w:rsidRPr="00FC3072">
        <w:rPr>
          <w:rFonts w:ascii="Times New Roman" w:hAnsi="Times New Roman" w:cs="Times New Roman"/>
          <w:color w:val="FF6600"/>
          <w:sz w:val="26"/>
          <w:szCs w:val="26"/>
          <w:lang w:val="en-HK"/>
        </w:rPr>
        <w:t xml:space="preserve">Nature Bank holds an </w:t>
      </w:r>
      <w:r w:rsidRPr="00FC3072">
        <w:rPr>
          <w:rFonts w:ascii="Times New Roman" w:hAnsi="Times New Roman" w:cs="Times New Roman"/>
          <w:b/>
          <w:bCs/>
          <w:color w:val="FF6600"/>
          <w:sz w:val="26"/>
          <w:szCs w:val="26"/>
          <w:lang w:val="en-HK"/>
        </w:rPr>
        <w:t>equitable mortgage</w:t>
      </w:r>
      <w:r w:rsidRPr="00FC3072">
        <w:rPr>
          <w:rFonts w:ascii="Times New Roman" w:hAnsi="Times New Roman" w:cs="Times New Roman"/>
          <w:color w:val="FF6600"/>
          <w:sz w:val="26"/>
          <w:szCs w:val="26"/>
          <w:lang w:val="en-HK"/>
        </w:rPr>
        <w:t xml:space="preserve"> over the shares in May Ltd. The deposit of share certificates and signed share transfer documents, naming Nature Bank as transferee, demonstrates an intention to create a security interest. The lack of registration of the share transfer means the formalities for a legal mortgage are incomplete, ruling out a legal mortgage. A pledge is not possible due to the intangible nature of shares, and a charge is less likely given the mortgage-specific actions taken.</w:t>
      </w:r>
    </w:p>
    <w:p w14:paraId="1F077A6A" w14:textId="77777777" w:rsidR="001328D5" w:rsidRPr="001328D5" w:rsidRDefault="001328D5" w:rsidP="001328D5">
      <w:pPr>
        <w:jc w:val="both"/>
        <w:rPr>
          <w:rFonts w:ascii="Times New Roman" w:hAnsi="Times New Roman" w:cs="Times New Roman"/>
          <w:color w:val="FF6600"/>
          <w:sz w:val="26"/>
          <w:szCs w:val="26"/>
          <w:lang w:val="en-HK"/>
        </w:rPr>
      </w:pPr>
    </w:p>
    <w:p w14:paraId="0145EFD4" w14:textId="77777777" w:rsidR="00DF6A41" w:rsidRPr="001328D5" w:rsidRDefault="00DF6A41">
      <w:pPr>
        <w:rPr>
          <w:rFonts w:ascii="Times New Roman" w:hAnsi="Times New Roman" w:cs="Times New Roman"/>
          <w:lang w:val="en-HK"/>
        </w:rPr>
      </w:pPr>
    </w:p>
    <w:sectPr w:rsidR="00DF6A41" w:rsidRPr="00132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466"/>
    <w:multiLevelType w:val="multilevel"/>
    <w:tmpl w:val="408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E6CD6"/>
    <w:multiLevelType w:val="hybridMultilevel"/>
    <w:tmpl w:val="32F08540"/>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9603C21"/>
    <w:multiLevelType w:val="hybridMultilevel"/>
    <w:tmpl w:val="AE743884"/>
    <w:lvl w:ilvl="0" w:tplc="3C090017">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47E567E8"/>
    <w:multiLevelType w:val="hybridMultilevel"/>
    <w:tmpl w:val="C6B82AC8"/>
    <w:lvl w:ilvl="0" w:tplc="BAB43D86">
      <w:start w:val="1"/>
      <w:numFmt w:val="decimal"/>
      <w:lvlText w:val="%1."/>
      <w:lvlJc w:val="left"/>
      <w:pPr>
        <w:ind w:left="927"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A25801"/>
    <w:multiLevelType w:val="multilevel"/>
    <w:tmpl w:val="ECA6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05C1A"/>
    <w:multiLevelType w:val="multilevel"/>
    <w:tmpl w:val="1E6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A5F28"/>
    <w:multiLevelType w:val="multilevel"/>
    <w:tmpl w:val="988A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32FE2"/>
    <w:multiLevelType w:val="hybridMultilevel"/>
    <w:tmpl w:val="3B92BD3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640036806">
    <w:abstractNumId w:val="3"/>
  </w:num>
  <w:num w:numId="2" w16cid:durableId="418447519">
    <w:abstractNumId w:val="1"/>
  </w:num>
  <w:num w:numId="3" w16cid:durableId="1667509955">
    <w:abstractNumId w:val="5"/>
  </w:num>
  <w:num w:numId="4" w16cid:durableId="688062806">
    <w:abstractNumId w:val="6"/>
  </w:num>
  <w:num w:numId="5" w16cid:durableId="491415674">
    <w:abstractNumId w:val="2"/>
  </w:num>
  <w:num w:numId="6" w16cid:durableId="1851141242">
    <w:abstractNumId w:val="4"/>
  </w:num>
  <w:num w:numId="7" w16cid:durableId="863518605">
    <w:abstractNumId w:val="0"/>
  </w:num>
  <w:num w:numId="8" w16cid:durableId="125154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D5"/>
    <w:rsid w:val="001328D5"/>
    <w:rsid w:val="001D02EE"/>
    <w:rsid w:val="00366412"/>
    <w:rsid w:val="00714B83"/>
    <w:rsid w:val="00DF6A41"/>
    <w:rsid w:val="00ED41D9"/>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C4"/>
  <w15:chartTrackingRefBased/>
  <w15:docId w15:val="{6215F7DA-3519-450C-B487-328AFE80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8D5"/>
    <w:pPr>
      <w:spacing w:after="200" w:line="276" w:lineRule="auto"/>
    </w:pPr>
    <w:rPr>
      <w:kern w:val="0"/>
      <w:sz w:val="22"/>
      <w:szCs w:val="22"/>
      <w:lang w:val="en-US" w:eastAsia="en-US"/>
      <w14:ligatures w14:val="none"/>
    </w:rPr>
  </w:style>
  <w:style w:type="paragraph" w:styleId="1">
    <w:name w:val="heading 1"/>
    <w:basedOn w:val="a"/>
    <w:next w:val="a"/>
    <w:link w:val="10"/>
    <w:uiPriority w:val="9"/>
    <w:qFormat/>
    <w:rsid w:val="001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28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28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28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28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28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28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28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28D5"/>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1328D5"/>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1328D5"/>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1328D5"/>
    <w:rPr>
      <w:rFonts w:eastAsiaTheme="majorEastAsia" w:cstheme="majorBidi"/>
      <w:i/>
      <w:iCs/>
      <w:color w:val="0F4761" w:themeColor="accent1" w:themeShade="BF"/>
    </w:rPr>
  </w:style>
  <w:style w:type="character" w:customStyle="1" w:styleId="50">
    <w:name w:val="標題 5 字元"/>
    <w:basedOn w:val="a0"/>
    <w:link w:val="5"/>
    <w:uiPriority w:val="9"/>
    <w:semiHidden/>
    <w:rsid w:val="001328D5"/>
    <w:rPr>
      <w:rFonts w:eastAsiaTheme="majorEastAsia" w:cstheme="majorBidi"/>
      <w:color w:val="0F4761" w:themeColor="accent1" w:themeShade="BF"/>
    </w:rPr>
  </w:style>
  <w:style w:type="character" w:customStyle="1" w:styleId="60">
    <w:name w:val="標題 6 字元"/>
    <w:basedOn w:val="a0"/>
    <w:link w:val="6"/>
    <w:uiPriority w:val="9"/>
    <w:semiHidden/>
    <w:rsid w:val="001328D5"/>
    <w:rPr>
      <w:rFonts w:eastAsiaTheme="majorEastAsia" w:cstheme="majorBidi"/>
      <w:i/>
      <w:iCs/>
      <w:color w:val="595959" w:themeColor="text1" w:themeTint="A6"/>
    </w:rPr>
  </w:style>
  <w:style w:type="character" w:customStyle="1" w:styleId="70">
    <w:name w:val="標題 7 字元"/>
    <w:basedOn w:val="a0"/>
    <w:link w:val="7"/>
    <w:uiPriority w:val="9"/>
    <w:semiHidden/>
    <w:rsid w:val="001328D5"/>
    <w:rPr>
      <w:rFonts w:eastAsiaTheme="majorEastAsia" w:cstheme="majorBidi"/>
      <w:color w:val="595959" w:themeColor="text1" w:themeTint="A6"/>
    </w:rPr>
  </w:style>
  <w:style w:type="character" w:customStyle="1" w:styleId="80">
    <w:name w:val="標題 8 字元"/>
    <w:basedOn w:val="a0"/>
    <w:link w:val="8"/>
    <w:uiPriority w:val="9"/>
    <w:semiHidden/>
    <w:rsid w:val="001328D5"/>
    <w:rPr>
      <w:rFonts w:eastAsiaTheme="majorEastAsia" w:cstheme="majorBidi"/>
      <w:i/>
      <w:iCs/>
      <w:color w:val="272727" w:themeColor="text1" w:themeTint="D8"/>
    </w:rPr>
  </w:style>
  <w:style w:type="character" w:customStyle="1" w:styleId="90">
    <w:name w:val="標題 9 字元"/>
    <w:basedOn w:val="a0"/>
    <w:link w:val="9"/>
    <w:uiPriority w:val="9"/>
    <w:semiHidden/>
    <w:rsid w:val="001328D5"/>
    <w:rPr>
      <w:rFonts w:eastAsiaTheme="majorEastAsia" w:cstheme="majorBidi"/>
      <w:color w:val="272727" w:themeColor="text1" w:themeTint="D8"/>
    </w:rPr>
  </w:style>
  <w:style w:type="paragraph" w:styleId="a3">
    <w:name w:val="Title"/>
    <w:basedOn w:val="a"/>
    <w:next w:val="a"/>
    <w:link w:val="a4"/>
    <w:uiPriority w:val="10"/>
    <w:qFormat/>
    <w:rsid w:val="00132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3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8D5"/>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1328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28D5"/>
    <w:pPr>
      <w:spacing w:before="160"/>
      <w:jc w:val="center"/>
    </w:pPr>
    <w:rPr>
      <w:i/>
      <w:iCs/>
      <w:color w:val="404040" w:themeColor="text1" w:themeTint="BF"/>
    </w:rPr>
  </w:style>
  <w:style w:type="character" w:customStyle="1" w:styleId="a8">
    <w:name w:val="引文 字元"/>
    <w:basedOn w:val="a0"/>
    <w:link w:val="a7"/>
    <w:uiPriority w:val="29"/>
    <w:rsid w:val="001328D5"/>
    <w:rPr>
      <w:i/>
      <w:iCs/>
      <w:color w:val="404040" w:themeColor="text1" w:themeTint="BF"/>
    </w:rPr>
  </w:style>
  <w:style w:type="paragraph" w:styleId="a9">
    <w:name w:val="List Paragraph"/>
    <w:basedOn w:val="a"/>
    <w:uiPriority w:val="34"/>
    <w:qFormat/>
    <w:rsid w:val="001328D5"/>
    <w:pPr>
      <w:ind w:left="720"/>
      <w:contextualSpacing/>
    </w:pPr>
  </w:style>
  <w:style w:type="character" w:styleId="aa">
    <w:name w:val="Intense Emphasis"/>
    <w:basedOn w:val="a0"/>
    <w:uiPriority w:val="21"/>
    <w:qFormat/>
    <w:rsid w:val="001328D5"/>
    <w:rPr>
      <w:i/>
      <w:iCs/>
      <w:color w:val="0F4761" w:themeColor="accent1" w:themeShade="BF"/>
    </w:rPr>
  </w:style>
  <w:style w:type="paragraph" w:styleId="ab">
    <w:name w:val="Intense Quote"/>
    <w:basedOn w:val="a"/>
    <w:next w:val="a"/>
    <w:link w:val="ac"/>
    <w:uiPriority w:val="30"/>
    <w:qFormat/>
    <w:rsid w:val="001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328D5"/>
    <w:rPr>
      <w:i/>
      <w:iCs/>
      <w:color w:val="0F4761" w:themeColor="accent1" w:themeShade="BF"/>
    </w:rPr>
  </w:style>
  <w:style w:type="character" w:styleId="ad">
    <w:name w:val="Intense Reference"/>
    <w:basedOn w:val="a0"/>
    <w:uiPriority w:val="32"/>
    <w:qFormat/>
    <w:rsid w:val="00132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Kung</dc:creator>
  <cp:keywords/>
  <dc:description/>
  <cp:lastModifiedBy>Natalie Kung</cp:lastModifiedBy>
  <cp:revision>1</cp:revision>
  <dcterms:created xsi:type="dcterms:W3CDTF">2025-09-14T10:17:00Z</dcterms:created>
  <dcterms:modified xsi:type="dcterms:W3CDTF">2025-09-14T10:19:00Z</dcterms:modified>
</cp:coreProperties>
</file>